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F5" w:rsidRPr="006F41F3" w:rsidRDefault="00DA59CC" w:rsidP="00AC1CA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angSong"/>
          <w:b/>
          <w:kern w:val="0"/>
          <w:sz w:val="32"/>
          <w:szCs w:val="24"/>
        </w:rPr>
      </w:pPr>
      <w:r>
        <w:rPr>
          <w:rFonts w:asciiTheme="majorEastAsia" w:eastAsiaTheme="majorEastAsia" w:hAnsiTheme="majorEastAsia" w:cs="FangSong" w:hint="eastAsia"/>
          <w:b/>
          <w:kern w:val="0"/>
          <w:sz w:val="32"/>
          <w:szCs w:val="24"/>
        </w:rPr>
        <w:t>敬业</w:t>
      </w:r>
      <w:r w:rsidR="00543FF5" w:rsidRPr="006F41F3">
        <w:rPr>
          <w:rFonts w:asciiTheme="majorEastAsia" w:eastAsiaTheme="majorEastAsia" w:hAnsiTheme="majorEastAsia" w:cs="FangSong" w:hint="eastAsia"/>
          <w:b/>
          <w:kern w:val="0"/>
          <w:sz w:val="32"/>
          <w:szCs w:val="24"/>
        </w:rPr>
        <w:t>二次法成型机贴合鼓技术</w:t>
      </w:r>
      <w:r w:rsidR="00E331E9" w:rsidRPr="006F41F3">
        <w:rPr>
          <w:rFonts w:asciiTheme="majorEastAsia" w:eastAsiaTheme="majorEastAsia" w:hAnsiTheme="majorEastAsia" w:cs="FangSong" w:hint="eastAsia"/>
          <w:b/>
          <w:kern w:val="0"/>
          <w:sz w:val="32"/>
          <w:szCs w:val="24"/>
        </w:rPr>
        <w:t>条款</w:t>
      </w:r>
    </w:p>
    <w:p w:rsidR="006F5817" w:rsidRPr="006F41F3" w:rsidRDefault="006F5817" w:rsidP="006F581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angSong"/>
          <w:b/>
          <w:kern w:val="0"/>
          <w:sz w:val="24"/>
          <w:szCs w:val="24"/>
        </w:rPr>
      </w:pPr>
      <w:r w:rsidRPr="006F41F3">
        <w:rPr>
          <w:rFonts w:asciiTheme="majorEastAsia" w:eastAsiaTheme="majorEastAsia" w:hAnsiTheme="majorEastAsia" w:cs="FangSong" w:hint="eastAsia"/>
          <w:b/>
          <w:kern w:val="0"/>
          <w:sz w:val="24"/>
          <w:szCs w:val="24"/>
        </w:rPr>
        <w:t>总则：</w:t>
      </w:r>
    </w:p>
    <w:p w:rsidR="006F5817" w:rsidRPr="006F41F3" w:rsidRDefault="006F5817" w:rsidP="00C10A82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</w:t>
      </w:r>
      <w:r w:rsidR="00304D8E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技术协议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适用于</w:t>
      </w:r>
      <w:r w:rsidR="00304D8E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半钢</w:t>
      </w:r>
      <w:r w:rsidR="00241F10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敬业二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次法</w:t>
      </w:r>
      <w:r w:rsidR="00C10A82" w:rsidRPr="006F41F3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41F10" w:rsidRPr="006F41F3">
        <w:rPr>
          <w:rFonts w:asciiTheme="majorEastAsia" w:eastAsiaTheme="majorEastAsia" w:hAnsiTheme="majorEastAsia" w:hint="eastAsia"/>
          <w:sz w:val="24"/>
          <w:szCs w:val="24"/>
        </w:rPr>
        <w:t>418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成型机</w:t>
      </w:r>
      <w:r w:rsidR="00B6718E" w:rsidRPr="006F41F3">
        <w:rPr>
          <w:rFonts w:asciiTheme="majorEastAsia" w:eastAsiaTheme="majorEastAsia" w:hAnsiTheme="majorEastAsia" w:hint="eastAsia"/>
          <w:sz w:val="24"/>
          <w:szCs w:val="24"/>
        </w:rPr>
        <w:t>贴合</w:t>
      </w:r>
      <w:r w:rsidR="00C10A82" w:rsidRPr="006F41F3">
        <w:rPr>
          <w:rFonts w:asciiTheme="majorEastAsia" w:eastAsiaTheme="majorEastAsia" w:hAnsiTheme="majorEastAsia" w:hint="eastAsia"/>
          <w:sz w:val="24"/>
          <w:szCs w:val="24"/>
        </w:rPr>
        <w:t>鼓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订货、</w:t>
      </w:r>
      <w:r w:rsidR="00304D8E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安装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及售后服务等方面。</w:t>
      </w:r>
    </w:p>
    <w:p w:rsidR="006F5817" w:rsidRPr="006F41F3" w:rsidRDefault="00792521" w:rsidP="002F12EA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供方</w:t>
      </w:r>
      <w:r w:rsidR="006F5817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应保证提供符合本</w:t>
      </w:r>
      <w:r w:rsidR="00304D8E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技术协议</w:t>
      </w:r>
      <w:r w:rsidR="006F5817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和有关最新国家工业标准的成熟优质合格产品。</w:t>
      </w:r>
    </w:p>
    <w:p w:rsidR="006F5817" w:rsidRPr="006F41F3" w:rsidRDefault="006F5817" w:rsidP="002F12EA">
      <w:pPr>
        <w:pStyle w:val="a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</w:t>
      </w:r>
      <w:r w:rsidR="00415428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技术协议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所使用的标准与</w:t>
      </w:r>
      <w:r w:rsidR="00792521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供方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所执行的标准发生矛盾时，按较高标准执行。</w:t>
      </w:r>
    </w:p>
    <w:p w:rsidR="00304D8E" w:rsidRPr="006F41F3" w:rsidRDefault="006F5817" w:rsidP="00C10A82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3" w:left="244" w:hangingChars="99" w:hanging="238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</w:t>
      </w:r>
      <w:r w:rsidR="00304D8E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技术协议</w:t>
      </w: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只在本次订货事宜中有效。</w:t>
      </w:r>
    </w:p>
    <w:p w:rsidR="00B6718E" w:rsidRPr="00DB7119" w:rsidRDefault="00DB7119" w:rsidP="00DB71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一、供货</w:t>
      </w:r>
      <w:r w:rsidR="006F5817" w:rsidRPr="006F41F3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范围：</w:t>
      </w:r>
    </w:p>
    <w:p w:rsidR="00D40A1E" w:rsidRPr="00D40A1E" w:rsidRDefault="00B6718E" w:rsidP="00D40A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Φ</w:t>
      </w:r>
      <w:r w:rsidR="00CC2595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520</w:t>
      </w:r>
      <w:r w:rsidR="00F41E75" w:rsidRPr="00D40A1E">
        <w:rPr>
          <w:rFonts w:asciiTheme="majorEastAsia" w:eastAsiaTheme="majorEastAsia" w:hAnsiTheme="majorEastAsia" w:cs="宋体"/>
          <w:kern w:val="0"/>
          <w:sz w:val="24"/>
          <w:szCs w:val="24"/>
        </w:rPr>
        <w:t>-Φ</w:t>
      </w:r>
      <w:r w:rsidR="00CC2595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620</w:t>
      </w:r>
      <w:r w:rsidR="00BE7674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基鼓及</w:t>
      </w:r>
      <w:r w:rsidR="006F1A2F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H</w:t>
      </w:r>
      <w:r w:rsidR="006F1A2F" w:rsidRPr="00D40A1E">
        <w:rPr>
          <w:rFonts w:asciiTheme="majorEastAsia" w:eastAsiaTheme="majorEastAsia" w:hAnsiTheme="majorEastAsia" w:cs="宋体"/>
          <w:kern w:val="0"/>
          <w:sz w:val="24"/>
          <w:szCs w:val="24"/>
        </w:rPr>
        <w:t>35</w:t>
      </w:r>
      <w:r w:rsidR="00BE7674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辅助块</w:t>
      </w:r>
      <w:r w:rsidR="00F41E75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762CD9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各</w:t>
      </w:r>
      <w:r w:rsidR="00F41E75" w:rsidRPr="00D40A1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4套</w:t>
      </w:r>
    </w:p>
    <w:p w:rsidR="006F5817" w:rsidRPr="003770AE" w:rsidRDefault="001F7F08" w:rsidP="003770A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二、</w:t>
      </w:r>
      <w:r w:rsidR="00FE32C3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结构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功能描述</w:t>
      </w:r>
      <w:r w:rsidR="006F5817" w:rsidRPr="003770AE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：</w:t>
      </w:r>
    </w:p>
    <w:p w:rsidR="00E9404F" w:rsidRPr="006F41F3" w:rsidRDefault="00E331E9" w:rsidP="00E9404F">
      <w:pPr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敬业</w:t>
      </w:r>
      <w:r w:rsidR="009C3071" w:rsidRPr="006F41F3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6F41F3">
        <w:rPr>
          <w:rFonts w:asciiTheme="majorEastAsia" w:eastAsiaTheme="majorEastAsia" w:hAnsiTheme="majorEastAsia" w:hint="eastAsia"/>
          <w:sz w:val="24"/>
          <w:szCs w:val="24"/>
        </w:rPr>
        <w:t>418二次法</w:t>
      </w:r>
      <w:r w:rsidR="009C3071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成型机</w:t>
      </w:r>
      <w:r w:rsidR="00E9404F" w:rsidRPr="006F41F3">
        <w:rPr>
          <w:rFonts w:asciiTheme="majorEastAsia" w:eastAsiaTheme="majorEastAsia" w:hAnsiTheme="majorEastAsia" w:hint="eastAsia"/>
          <w:sz w:val="24"/>
          <w:szCs w:val="24"/>
        </w:rPr>
        <w:t>带束层贴合</w:t>
      </w:r>
      <w:r w:rsidR="009C3071" w:rsidRPr="006F41F3">
        <w:rPr>
          <w:rFonts w:asciiTheme="majorEastAsia" w:eastAsiaTheme="majorEastAsia" w:hAnsiTheme="majorEastAsia" w:hint="eastAsia"/>
          <w:sz w:val="24"/>
          <w:szCs w:val="24"/>
        </w:rPr>
        <w:t>鼓</w:t>
      </w:r>
      <w:r w:rsidR="006F5817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安装</w:t>
      </w:r>
      <w:r w:rsidR="00047AE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于</w:t>
      </w:r>
      <w:r w:rsidR="00E9404F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</w:t>
      </w:r>
      <w:r w:rsidR="006F5817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段主机</w:t>
      </w:r>
      <w:r w:rsidR="00F75FC6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的主轴法兰盘</w:t>
      </w:r>
      <w:r w:rsidR="009C3071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上</w:t>
      </w:r>
      <w:r w:rsidR="006F5817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E9404F" w:rsidRPr="006F41F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通过主轴法兰端面两道气路</w:t>
      </w:r>
      <w:r w:rsidR="00B07474">
        <w:rPr>
          <w:rFonts w:ascii="宋体" w:hAnsi="宋体" w:hint="eastAsia"/>
          <w:sz w:val="24"/>
          <w:szCs w:val="24"/>
        </w:rPr>
        <w:t>驱动鼓内气缸往复</w:t>
      </w:r>
      <w:r w:rsidR="00E9404F" w:rsidRPr="006F41F3">
        <w:rPr>
          <w:rFonts w:ascii="宋体" w:hAnsi="宋体" w:hint="eastAsia"/>
          <w:sz w:val="24"/>
          <w:szCs w:val="24"/>
        </w:rPr>
        <w:t>运动，实现鼓板</w:t>
      </w:r>
      <w:r w:rsidR="00EA0305">
        <w:rPr>
          <w:rFonts w:ascii="宋体" w:hAnsi="宋体" w:hint="eastAsia"/>
          <w:sz w:val="24"/>
          <w:szCs w:val="24"/>
        </w:rPr>
        <w:t>的</w:t>
      </w:r>
      <w:r w:rsidR="00E9404F" w:rsidRPr="006F41F3">
        <w:rPr>
          <w:rFonts w:ascii="宋体" w:hAnsi="宋体" w:hint="eastAsia"/>
          <w:sz w:val="24"/>
          <w:szCs w:val="24"/>
        </w:rPr>
        <w:t>径向涨缩</w:t>
      </w:r>
      <w:r w:rsidR="00BA19E8" w:rsidRPr="006F41F3">
        <w:rPr>
          <w:rFonts w:ascii="宋体" w:hAnsi="宋体" w:hint="eastAsia"/>
          <w:sz w:val="24"/>
          <w:szCs w:val="24"/>
        </w:rPr>
        <w:t>，根据生产需要可通过外侧螺母调节鼓板涨开直径。</w:t>
      </w:r>
    </w:p>
    <w:p w:rsidR="00E9404F" w:rsidRPr="006F41F3" w:rsidRDefault="00EA0305" w:rsidP="00E9404F">
      <w:pPr>
        <w:spacing w:line="4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每块鼓</w:t>
      </w:r>
      <w:r w:rsidR="00226DDE">
        <w:rPr>
          <w:rFonts w:ascii="宋体" w:hAnsi="宋体" w:hint="eastAsia"/>
          <w:sz w:val="24"/>
          <w:szCs w:val="24"/>
        </w:rPr>
        <w:t>板都镶有磁性合理的磁铁</w:t>
      </w:r>
      <w:r w:rsidR="00BA19E8" w:rsidRPr="006F41F3">
        <w:rPr>
          <w:rFonts w:ascii="宋体" w:hAnsi="宋体" w:hint="eastAsia"/>
          <w:sz w:val="24"/>
          <w:szCs w:val="24"/>
        </w:rPr>
        <w:t>，</w:t>
      </w:r>
      <w:r w:rsidR="00E9404F" w:rsidRPr="006F41F3">
        <w:rPr>
          <w:rFonts w:ascii="宋体" w:hAnsi="宋体" w:hint="eastAsia"/>
          <w:color w:val="000000"/>
          <w:sz w:val="24"/>
          <w:szCs w:val="24"/>
        </w:rPr>
        <w:t>能有效吸附带束层</w:t>
      </w:r>
      <w:r w:rsidR="00E9404F" w:rsidRPr="006F41F3">
        <w:rPr>
          <w:rFonts w:ascii="宋体" w:hAnsi="宋体" w:hint="eastAsia"/>
          <w:sz w:val="24"/>
          <w:szCs w:val="24"/>
        </w:rPr>
        <w:t>，磁条位置根据带束层角度和贴合起始位置来确定。</w:t>
      </w:r>
      <w:r w:rsidR="00AB4BDA">
        <w:rPr>
          <w:rFonts w:ascii="宋体" w:hAnsi="宋体" w:hint="eastAsia"/>
          <w:sz w:val="24"/>
          <w:szCs w:val="24"/>
        </w:rPr>
        <w:t>贴合鼓的结构形式与敬业原有结构保持一致。</w:t>
      </w:r>
    </w:p>
    <w:p w:rsidR="00E22533" w:rsidRDefault="00E22533" w:rsidP="00E22533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三、</w:t>
      </w:r>
      <w:r w:rsidR="00F8387C">
        <w:rPr>
          <w:rFonts w:ascii="宋体" w:eastAsia="宋体" w:hAnsi="宋体" w:cs="Times New Roman" w:hint="eastAsia"/>
          <w:b/>
          <w:sz w:val="24"/>
          <w:szCs w:val="24"/>
        </w:rPr>
        <w:t>技术参数及精度</w:t>
      </w:r>
      <w:r w:rsidR="00EF5A30">
        <w:rPr>
          <w:rFonts w:ascii="宋体" w:eastAsia="宋体" w:hAnsi="宋体" w:cs="Times New Roman" w:hint="eastAsia"/>
          <w:b/>
          <w:sz w:val="24"/>
          <w:szCs w:val="24"/>
        </w:rPr>
        <w:t>等</w:t>
      </w:r>
      <w:r w:rsidRPr="00E22533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:rsidR="00EF5A30" w:rsidRPr="00E22533" w:rsidRDefault="00EF5A30" w:rsidP="00E2253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1、技术参数及精度：</w:t>
      </w:r>
    </w:p>
    <w:tbl>
      <w:tblPr>
        <w:tblW w:w="89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47"/>
        <w:gridCol w:w="1841"/>
        <w:gridCol w:w="1842"/>
        <w:gridCol w:w="2149"/>
      </w:tblGrid>
      <w:tr w:rsidR="00E22533" w:rsidRPr="00E22533" w:rsidTr="00E22533">
        <w:trPr>
          <w:trHeight w:val="70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项目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标准值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备注</w:t>
            </w:r>
          </w:p>
        </w:tc>
      </w:tr>
      <w:tr w:rsidR="00E22533" w:rsidRPr="00E22533" w:rsidTr="00E22533">
        <w:trPr>
          <w:trHeight w:val="70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鼓直径范围</w:t>
            </w:r>
          </w:p>
        </w:tc>
        <w:tc>
          <w:tcPr>
            <w:tcW w:w="1841" w:type="dxa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520</w:t>
            </w:r>
          </w:p>
        </w:tc>
        <w:tc>
          <w:tcPr>
            <w:tcW w:w="1842" w:type="dxa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620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70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鼓块宽度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CF4EAF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400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675AF5" w:rsidRPr="00E22533" w:rsidTr="000520BD">
        <w:trPr>
          <w:trHeight w:val="70"/>
        </w:trPr>
        <w:tc>
          <w:tcPr>
            <w:tcW w:w="993" w:type="dxa"/>
            <w:vAlign w:val="center"/>
          </w:tcPr>
          <w:p w:rsidR="00675AF5" w:rsidRPr="00E22533" w:rsidRDefault="00675AF5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675AF5" w:rsidRPr="00E22533" w:rsidRDefault="00675AF5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鼓瓦数量</w:t>
            </w:r>
          </w:p>
        </w:tc>
        <w:tc>
          <w:tcPr>
            <w:tcW w:w="3683" w:type="dxa"/>
            <w:gridSpan w:val="2"/>
          </w:tcPr>
          <w:p w:rsidR="00675AF5" w:rsidRPr="00E22533" w:rsidRDefault="00675AF5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675AF5" w:rsidRPr="00E22533" w:rsidRDefault="00675AF5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299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鼓涨周长差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≤1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75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中心距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8D2B8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272.5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31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鼓缩周长差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≤1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31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鼓径向跳动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≤0.3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31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整鼓涨缩形式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气动涨缩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31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磁粒分布情况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F320E6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按敬业贴合鼓结构分布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E22533" w:rsidRPr="00E22533" w:rsidTr="00E22533">
        <w:trPr>
          <w:trHeight w:val="131"/>
        </w:trPr>
        <w:tc>
          <w:tcPr>
            <w:tcW w:w="993" w:type="dxa"/>
            <w:vAlign w:val="center"/>
          </w:tcPr>
          <w:p w:rsidR="00E22533" w:rsidRPr="00E22533" w:rsidRDefault="00E22533" w:rsidP="00E22533">
            <w:pPr>
              <w:numPr>
                <w:ilvl w:val="0"/>
                <w:numId w:val="11"/>
              </w:num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E22533" w:rsidRPr="00E22533" w:rsidRDefault="00E22533" w:rsidP="00E22533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/>
                <w:sz w:val="24"/>
                <w:szCs w:val="24"/>
              </w:rPr>
              <w:t>磁力强度</w:t>
            </w:r>
          </w:p>
        </w:tc>
        <w:tc>
          <w:tcPr>
            <w:tcW w:w="3683" w:type="dxa"/>
            <w:gridSpan w:val="2"/>
            <w:vAlign w:val="center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E22533">
              <w:rPr>
                <w:rFonts w:ascii="宋体" w:eastAsia="宋体" w:hAnsi="宋体" w:cs="Arial"/>
                <w:sz w:val="24"/>
                <w:szCs w:val="24"/>
              </w:rPr>
              <w:t>强磁1</w:t>
            </w: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1</w:t>
            </w:r>
            <w:r w:rsidRPr="00E22533">
              <w:rPr>
                <w:rFonts w:ascii="宋体" w:eastAsia="宋体" w:hAnsi="宋体" w:cs="Arial"/>
                <w:sz w:val="24"/>
                <w:szCs w:val="24"/>
              </w:rPr>
              <w:t>00-</w:t>
            </w: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13</w:t>
            </w:r>
            <w:r w:rsidRPr="00E22533">
              <w:rPr>
                <w:rFonts w:ascii="宋体" w:eastAsia="宋体" w:hAnsi="宋体" w:cs="Arial"/>
                <w:sz w:val="24"/>
                <w:szCs w:val="24"/>
              </w:rPr>
              <w:t>00，弱磁</w:t>
            </w: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50</w:t>
            </w:r>
            <w:r w:rsidRPr="00E22533">
              <w:rPr>
                <w:rFonts w:ascii="宋体" w:eastAsia="宋体" w:hAnsi="宋体" w:cs="Arial"/>
                <w:sz w:val="24"/>
                <w:szCs w:val="24"/>
              </w:rPr>
              <w:t>0-</w:t>
            </w:r>
            <w:r w:rsidRPr="00E22533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  <w:r w:rsidRPr="00E22533">
              <w:rPr>
                <w:rFonts w:ascii="宋体" w:eastAsia="宋体" w:hAnsi="宋体" w:cs="Arial"/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E22533" w:rsidRPr="00E22533" w:rsidRDefault="00E22533" w:rsidP="00E2253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</w:tbl>
    <w:p w:rsidR="00E22533" w:rsidRPr="00E22533" w:rsidRDefault="00E22533" w:rsidP="00E22533">
      <w:pPr>
        <w:rPr>
          <w:rFonts w:ascii="宋体" w:eastAsia="宋体" w:hAnsi="宋体" w:cs="Arial"/>
          <w:sz w:val="24"/>
          <w:szCs w:val="24"/>
        </w:rPr>
      </w:pPr>
    </w:p>
    <w:p w:rsidR="008E1456" w:rsidRDefault="008E1456" w:rsidP="002F12E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2、改造技术要求：</w:t>
      </w:r>
    </w:p>
    <w:p w:rsidR="00BF79C1" w:rsidRPr="00BF79C1" w:rsidRDefault="00BF79C1" w:rsidP="00BF79C1">
      <w:pPr>
        <w:autoSpaceDE w:val="0"/>
        <w:autoSpaceDN w:val="0"/>
        <w:adjustRightInd w:val="0"/>
        <w:ind w:leftChars="-350" w:left="-735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  </w:t>
      </w:r>
      <w:r w:rsidR="00991D49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 </w:t>
      </w:r>
      <w:r>
        <w:rPr>
          <w:rFonts w:ascii="宋体" w:eastAsia="宋体" w:hAnsi="宋体" w:cs="Arial" w:hint="eastAsia"/>
          <w:sz w:val="24"/>
          <w:szCs w:val="24"/>
        </w:rPr>
        <w:t>2.</w:t>
      </w:r>
      <w:r w:rsidRPr="00BF79C1">
        <w:rPr>
          <w:rFonts w:ascii="宋体" w:eastAsia="宋体" w:hAnsi="宋体" w:cs="Arial" w:hint="eastAsia"/>
          <w:sz w:val="24"/>
          <w:szCs w:val="24"/>
        </w:rPr>
        <w:t>1、乙方要保证鼓的连接及驱动方式按甲方成型机联接结构设计。</w:t>
      </w:r>
    </w:p>
    <w:p w:rsidR="00BF79C1" w:rsidRPr="00BF79C1" w:rsidRDefault="00BF79C1" w:rsidP="00991D49">
      <w:pPr>
        <w:autoSpaceDE w:val="0"/>
        <w:autoSpaceDN w:val="0"/>
        <w:adjustRightInd w:val="0"/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 w:rsidRPr="00BF79C1">
        <w:rPr>
          <w:rFonts w:ascii="宋体" w:eastAsia="宋体" w:hAnsi="宋体" w:cs="Arial" w:hint="eastAsia"/>
          <w:sz w:val="24"/>
          <w:szCs w:val="24"/>
        </w:rPr>
        <w:t>2</w:t>
      </w:r>
      <w:r>
        <w:rPr>
          <w:rFonts w:ascii="宋体" w:eastAsia="宋体" w:hAnsi="宋体" w:cs="Arial" w:hint="eastAsia"/>
          <w:sz w:val="24"/>
          <w:szCs w:val="24"/>
        </w:rPr>
        <w:t>．2</w:t>
      </w:r>
      <w:r w:rsidRPr="00BF79C1">
        <w:rPr>
          <w:rFonts w:ascii="宋体" w:eastAsia="宋体" w:hAnsi="宋体" w:cs="Arial" w:hint="eastAsia"/>
          <w:sz w:val="24"/>
          <w:szCs w:val="24"/>
        </w:rPr>
        <w:t>、鼓组件加工不得有调整垫片、划伤、毛刺、敲砸痕迹等现象。</w:t>
      </w:r>
    </w:p>
    <w:p w:rsidR="00BF79C1" w:rsidRPr="00BF79C1" w:rsidRDefault="00BF79C1" w:rsidP="00991D49">
      <w:pPr>
        <w:autoSpaceDE w:val="0"/>
        <w:autoSpaceDN w:val="0"/>
        <w:adjustRightInd w:val="0"/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.3、所有工装做好（编号</w:t>
      </w:r>
      <w:r w:rsidRPr="00BF79C1">
        <w:rPr>
          <w:rFonts w:ascii="宋体" w:eastAsia="宋体" w:hAnsi="宋体" w:cs="Arial"/>
          <w:sz w:val="24"/>
          <w:szCs w:val="24"/>
        </w:rPr>
        <w:t>/</w:t>
      </w:r>
      <w:r w:rsidRPr="00BF79C1">
        <w:rPr>
          <w:rFonts w:ascii="宋体" w:eastAsia="宋体" w:hAnsi="宋体" w:cs="Arial" w:hint="eastAsia"/>
          <w:sz w:val="24"/>
          <w:szCs w:val="24"/>
        </w:rPr>
        <w:t>直径</w:t>
      </w:r>
      <w:r w:rsidRPr="00BF79C1">
        <w:rPr>
          <w:rFonts w:ascii="宋体" w:eastAsia="宋体" w:hAnsi="宋体" w:cs="Arial"/>
          <w:sz w:val="24"/>
          <w:szCs w:val="24"/>
        </w:rPr>
        <w:t>/</w:t>
      </w:r>
      <w:r w:rsidRPr="00BF79C1">
        <w:rPr>
          <w:rFonts w:ascii="宋体" w:eastAsia="宋体" w:hAnsi="宋体" w:cs="Arial" w:hint="eastAsia"/>
          <w:sz w:val="24"/>
          <w:szCs w:val="24"/>
        </w:rPr>
        <w:t>鼓宽</w:t>
      </w:r>
      <w:r w:rsidRPr="00BF79C1">
        <w:rPr>
          <w:rFonts w:ascii="宋体" w:eastAsia="宋体" w:hAnsi="宋体" w:cs="Arial"/>
          <w:sz w:val="24"/>
          <w:szCs w:val="24"/>
        </w:rPr>
        <w:t>/</w:t>
      </w:r>
      <w:r w:rsidRPr="00BF79C1">
        <w:rPr>
          <w:rFonts w:ascii="宋体" w:eastAsia="宋体" w:hAnsi="宋体" w:cs="Arial" w:hint="eastAsia"/>
          <w:sz w:val="24"/>
          <w:szCs w:val="24"/>
        </w:rPr>
        <w:t>范围）等相应标记，所有接口符合甲方现场技术要求。</w:t>
      </w:r>
    </w:p>
    <w:p w:rsidR="00BF79C1" w:rsidRPr="00BF79C1" w:rsidRDefault="00BF79C1" w:rsidP="00991D49">
      <w:pPr>
        <w:autoSpaceDE w:val="0"/>
        <w:autoSpaceDN w:val="0"/>
        <w:adjustRightInd w:val="0"/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.4、鼓精度要求</w:t>
      </w:r>
      <w:r w:rsidRPr="00BF79C1">
        <w:rPr>
          <w:rFonts w:ascii="宋体" w:eastAsia="宋体" w:hAnsi="宋体" w:cs="Arial"/>
          <w:sz w:val="24"/>
          <w:szCs w:val="24"/>
        </w:rPr>
        <w:t>:</w:t>
      </w:r>
      <w:r w:rsidRPr="00BF79C1">
        <w:rPr>
          <w:rFonts w:ascii="宋体" w:eastAsia="宋体" w:hAnsi="宋体" w:cs="Arial" w:hint="eastAsia"/>
          <w:sz w:val="24"/>
          <w:szCs w:val="24"/>
        </w:rPr>
        <w:t>以双方确认签字的协议上所标精度为标准验收</w:t>
      </w:r>
    </w:p>
    <w:p w:rsidR="00BF79C1" w:rsidRPr="00BF79C1" w:rsidRDefault="00BF79C1" w:rsidP="00991D49">
      <w:pPr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.5、鼓组件中各金属零件表面，均需进行防锈防腐处理，且要求处理后外观整洁、美观。</w:t>
      </w:r>
    </w:p>
    <w:p w:rsidR="00BF79C1" w:rsidRPr="00BF79C1" w:rsidRDefault="00BF79C1" w:rsidP="00991D49">
      <w:pPr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.6、所以紧固件均采用12.9级，采用防松设计，且保证装配和使用过程无松动。</w:t>
      </w:r>
    </w:p>
    <w:p w:rsidR="00BF79C1" w:rsidRPr="00BF79C1" w:rsidRDefault="00BF79C1" w:rsidP="00991D49">
      <w:pPr>
        <w:ind w:leftChars="-350" w:left="-735" w:firstLineChars="300" w:firstLine="720"/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.7、铝件螺纹采用防松螺套，确保不松动</w:t>
      </w:r>
    </w:p>
    <w:p w:rsidR="005C4B90" w:rsidRPr="004D6E0C" w:rsidRDefault="00BF79C1" w:rsidP="004D6E0C">
      <w:pPr>
        <w:jc w:val="left"/>
        <w:rPr>
          <w:rFonts w:ascii="宋体" w:eastAsia="宋体" w:hAnsi="宋体" w:cs="Arial"/>
          <w:sz w:val="24"/>
          <w:szCs w:val="24"/>
        </w:rPr>
      </w:pPr>
      <w:r>
        <w:rPr>
          <w:rFonts w:ascii="宋体" w:eastAsia="宋体" w:hAnsi="宋体" w:cs="Arial" w:hint="eastAsia"/>
          <w:sz w:val="24"/>
          <w:szCs w:val="24"/>
        </w:rPr>
        <w:t>2</w:t>
      </w:r>
      <w:r w:rsidRPr="00BF79C1">
        <w:rPr>
          <w:rFonts w:ascii="宋体" w:eastAsia="宋体" w:hAnsi="宋体" w:cs="Arial" w:hint="eastAsia"/>
          <w:sz w:val="24"/>
          <w:szCs w:val="24"/>
        </w:rPr>
        <w:t>.8、</w:t>
      </w:r>
      <w:r w:rsidR="005C4B90" w:rsidRPr="0014633E">
        <w:rPr>
          <w:rFonts w:asciiTheme="majorEastAsia" w:eastAsiaTheme="majorEastAsia" w:hAnsiTheme="majorEastAsia" w:hint="eastAsia"/>
          <w:sz w:val="24"/>
          <w:szCs w:val="24"/>
        </w:rPr>
        <w:t>基鼓瓦块预留增加贴合鼓辅助块固定螺栓孔，且安装尺寸与现有敬业1418机型的辅助块保持一致。</w:t>
      </w:r>
    </w:p>
    <w:p w:rsidR="008E1456" w:rsidRPr="004B3479" w:rsidRDefault="008E1456" w:rsidP="008E1456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3、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主要部件材料及热处理</w:t>
      </w:r>
      <w:r w:rsidR="00550F78">
        <w:rPr>
          <w:rFonts w:asciiTheme="minorEastAsia" w:hAnsiTheme="minorEastAsia" w:hint="eastAsia"/>
          <w:color w:val="000000"/>
          <w:sz w:val="24"/>
          <w:szCs w:val="24"/>
        </w:rPr>
        <w:t>等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:</w:t>
      </w:r>
    </w:p>
    <w:p w:rsidR="008E1456" w:rsidRPr="004B3479" w:rsidRDefault="008E1456" w:rsidP="00EC1BEE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4B3479">
        <w:rPr>
          <w:rFonts w:asciiTheme="minorEastAsia" w:hAnsiTheme="minorEastAsia" w:hint="eastAsia"/>
          <w:color w:val="000000"/>
          <w:sz w:val="24"/>
          <w:szCs w:val="24"/>
        </w:rPr>
        <w:t>零件名称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材料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热处理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</w:t>
      </w:r>
      <w:r w:rsidR="00AE2C2E">
        <w:rPr>
          <w:rFonts w:asciiTheme="minorEastAsia" w:hAnsiTheme="minorEastAsia"/>
          <w:color w:val="000000"/>
          <w:sz w:val="24"/>
          <w:szCs w:val="24"/>
        </w:rPr>
        <w:t xml:space="preserve">     </w:t>
      </w:r>
      <w:r w:rsidR="00BC2246">
        <w:rPr>
          <w:rFonts w:asciiTheme="minorEastAsia" w:hAnsiTheme="minorEastAsia"/>
          <w:color w:val="000000"/>
          <w:sz w:val="24"/>
          <w:szCs w:val="24"/>
        </w:rPr>
        <w:t xml:space="preserve">  </w:t>
      </w:r>
      <w:r w:rsidR="00AE2C2E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BC2246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AE2C2E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4F5D09">
        <w:rPr>
          <w:rFonts w:asciiTheme="minorEastAsia" w:hAnsiTheme="minorEastAsia"/>
          <w:color w:val="000000"/>
          <w:sz w:val="24"/>
          <w:szCs w:val="24"/>
        </w:rPr>
        <w:t xml:space="preserve">  </w:t>
      </w:r>
      <w:r w:rsidR="00AE2C2E">
        <w:rPr>
          <w:rFonts w:asciiTheme="minorEastAsia" w:hAnsiTheme="minorEastAsia" w:hint="eastAsia"/>
          <w:color w:val="000000"/>
          <w:sz w:val="24"/>
          <w:szCs w:val="24"/>
        </w:rPr>
        <w:t>品牌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</w:p>
    <w:p w:rsidR="008E1456" w:rsidRPr="0033275A" w:rsidRDefault="0033275A" w:rsidP="00EC1BEE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lastRenderedPageBreak/>
        <w:t xml:space="preserve">鼓板瓦块 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</w:t>
      </w:r>
      <w:r w:rsidR="006C652D">
        <w:rPr>
          <w:rFonts w:asciiTheme="minorEastAsia" w:hAnsiTheme="minorEastAsia" w:hint="eastAsia"/>
          <w:color w:val="000000"/>
          <w:sz w:val="24"/>
          <w:szCs w:val="24"/>
        </w:rPr>
        <w:t>6061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            </w:t>
      </w:r>
      <w:r w:rsidR="006C652D">
        <w:rPr>
          <w:rFonts w:asciiTheme="minorEastAsia" w:hAnsiTheme="minorEastAsia" w:hint="eastAsia"/>
          <w:color w:val="000000"/>
          <w:sz w:val="24"/>
          <w:szCs w:val="24"/>
        </w:rPr>
        <w:t>阳极氧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化处理</w:t>
      </w:r>
      <w:r w:rsidRPr="00DF3A2D">
        <w:rPr>
          <w:rFonts w:asciiTheme="minorEastAsia" w:hAnsiTheme="minorEastAsia" w:hint="eastAsia"/>
          <w:color w:val="000000"/>
          <w:sz w:val="24"/>
          <w:szCs w:val="24"/>
        </w:rPr>
        <w:tab/>
      </w:r>
    </w:p>
    <w:p w:rsidR="008E1456" w:rsidRPr="004B3479" w:rsidRDefault="00C428F4" w:rsidP="00EC1BEE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主轴</w:t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      </w:t>
      </w:r>
      <w:r w:rsidR="00065799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>5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            </w:t>
      </w:r>
      <w:r w:rsidR="008E1456" w:rsidRPr="00B72477">
        <w:rPr>
          <w:rFonts w:asciiTheme="minorEastAsia" w:hAnsiTheme="minorEastAsia" w:hint="eastAsia"/>
          <w:color w:val="000000"/>
          <w:sz w:val="24"/>
          <w:szCs w:val="24"/>
        </w:rPr>
        <w:t>调质</w:t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HB220-25</w:t>
      </w:r>
      <w:r w:rsidR="008E1456" w:rsidRPr="00B72477">
        <w:rPr>
          <w:rFonts w:asciiTheme="minorEastAsia" w:hAnsiTheme="minorEastAsia" w:hint="eastAsia"/>
          <w:color w:val="000000"/>
          <w:sz w:val="24"/>
          <w:szCs w:val="24"/>
        </w:rPr>
        <w:t>0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</w:p>
    <w:p w:rsidR="008E1456" w:rsidRPr="004B3479" w:rsidRDefault="006C652D" w:rsidP="00EC1BEE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滑套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       </w:t>
      </w:r>
      <w:r w:rsidR="00065799"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>5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            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>调质</w:t>
      </w:r>
      <w:r w:rsidR="008E1456">
        <w:rPr>
          <w:rFonts w:asciiTheme="minorEastAsia" w:hAnsiTheme="minorEastAsia" w:hint="eastAsia"/>
          <w:color w:val="000000"/>
          <w:sz w:val="24"/>
          <w:szCs w:val="24"/>
        </w:rPr>
        <w:t xml:space="preserve"> HB220-25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>0</w:t>
      </w:r>
      <w:r w:rsidR="008E1456" w:rsidRPr="004B3479">
        <w:rPr>
          <w:rFonts w:asciiTheme="minorEastAsia" w:hAnsiTheme="minorEastAsia" w:hint="eastAsia"/>
          <w:color w:val="000000"/>
          <w:sz w:val="24"/>
          <w:szCs w:val="24"/>
        </w:rPr>
        <w:tab/>
      </w:r>
    </w:p>
    <w:p w:rsidR="00187A31" w:rsidRDefault="00187A31" w:rsidP="00EC1BEE">
      <w:pPr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导向盘 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color w:val="000000"/>
          <w:sz w:val="24"/>
          <w:szCs w:val="24"/>
        </w:rPr>
        <w:t>6061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color w:val="000000"/>
          <w:sz w:val="24"/>
          <w:szCs w:val="24"/>
        </w:rPr>
        <w:t>阳极氧</w:t>
      </w:r>
      <w:r w:rsidRPr="004B3479">
        <w:rPr>
          <w:rFonts w:asciiTheme="minorEastAsia" w:hAnsiTheme="minorEastAsia" w:hint="eastAsia"/>
          <w:color w:val="000000"/>
          <w:sz w:val="24"/>
          <w:szCs w:val="24"/>
        </w:rPr>
        <w:t>化处理</w:t>
      </w:r>
      <w:r w:rsidRPr="00DF3A2D">
        <w:rPr>
          <w:rFonts w:asciiTheme="minorEastAsia" w:hAnsiTheme="minorEastAsia" w:hint="eastAsia"/>
          <w:color w:val="000000"/>
          <w:sz w:val="24"/>
          <w:szCs w:val="24"/>
        </w:rPr>
        <w:tab/>
      </w:r>
    </w:p>
    <w:p w:rsidR="008E1456" w:rsidRDefault="00BC2246" w:rsidP="00BC2246">
      <w:pPr>
        <w:rPr>
          <w:rFonts w:asciiTheme="minorEastAsia" w:hAnsiTheme="minorEastAsia"/>
          <w:color w:val="000000"/>
          <w:sz w:val="24"/>
          <w:szCs w:val="24"/>
        </w:rPr>
      </w:pPr>
      <w:r w:rsidRPr="00366EAE">
        <w:rPr>
          <w:rFonts w:asciiTheme="minorEastAsia" w:hAnsiTheme="minorEastAsia" w:hint="eastAsia"/>
          <w:color w:val="000000"/>
          <w:sz w:val="24"/>
          <w:szCs w:val="24"/>
        </w:rPr>
        <w:t>直线导轨副</w:t>
      </w:r>
      <w:r w:rsidR="004D6E0C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4D6E0C">
        <w:rPr>
          <w:rFonts w:asciiTheme="minorEastAsia" w:hAnsiTheme="minorEastAsia"/>
          <w:color w:val="000000"/>
          <w:sz w:val="24"/>
          <w:szCs w:val="24"/>
        </w:rPr>
        <w:t xml:space="preserve">                                         </w:t>
      </w:r>
      <w:r w:rsidR="004F5D09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4D6E0C" w:rsidRPr="00BF79C1">
        <w:rPr>
          <w:rFonts w:ascii="宋体" w:eastAsia="宋体" w:hAnsi="宋体" w:cs="Arial" w:hint="eastAsia"/>
          <w:sz w:val="24"/>
          <w:szCs w:val="24"/>
        </w:rPr>
        <w:t>台湾上银</w:t>
      </w:r>
    </w:p>
    <w:p w:rsidR="00BC2246" w:rsidRPr="00BC2246" w:rsidRDefault="00BC2246" w:rsidP="00BC2246">
      <w:pPr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</w:p>
    <w:p w:rsidR="006B43B4" w:rsidRPr="00AE63EA" w:rsidRDefault="006B43B4" w:rsidP="006B43B4">
      <w:pPr>
        <w:pStyle w:val="a9"/>
        <w:numPr>
          <w:ilvl w:val="1"/>
          <w:numId w:val="7"/>
        </w:numPr>
        <w:ind w:firstLineChars="0"/>
        <w:rPr>
          <w:rFonts w:asciiTheme="minorEastAsia" w:hAnsiTheme="minorEastAsia"/>
          <w:b/>
          <w:color w:val="000000"/>
          <w:sz w:val="24"/>
          <w:szCs w:val="24"/>
        </w:rPr>
      </w:pPr>
      <w:r w:rsidRPr="00AE63EA">
        <w:rPr>
          <w:rFonts w:asciiTheme="minorEastAsia" w:hAnsiTheme="minorEastAsia" w:hint="eastAsia"/>
          <w:b/>
          <w:color w:val="000000"/>
          <w:sz w:val="24"/>
          <w:szCs w:val="24"/>
        </w:rPr>
        <w:t>技术资料：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984"/>
        <w:gridCol w:w="1985"/>
      </w:tblGrid>
      <w:tr w:rsidR="006B43B4" w:rsidRPr="0035357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3573" w:rsidRDefault="006B43B4" w:rsidP="00B07B92">
            <w:pPr>
              <w:pStyle w:val="ad"/>
              <w:spacing w:line="440" w:lineRule="exact"/>
              <w:rPr>
                <w:rFonts w:ascii="宋体"/>
                <w:color w:val="000000"/>
                <w:sz w:val="24"/>
              </w:rPr>
            </w:pPr>
            <w:r w:rsidRPr="00353573">
              <w:rPr>
                <w:rFonts w:asci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6B43B4" w:rsidRPr="00353573" w:rsidRDefault="006B43B4" w:rsidP="00B07B92">
            <w:pPr>
              <w:pStyle w:val="ad"/>
              <w:spacing w:line="440" w:lineRule="exact"/>
              <w:rPr>
                <w:rFonts w:ascii="宋体"/>
                <w:color w:val="000000"/>
                <w:sz w:val="24"/>
              </w:rPr>
            </w:pPr>
            <w:r w:rsidRPr="00353573">
              <w:rPr>
                <w:rFonts w:ascii="宋体" w:hAnsi="宋体" w:cs="宋体" w:hint="eastAsia"/>
                <w:color w:val="000000"/>
                <w:sz w:val="24"/>
              </w:rPr>
              <w:t>名</w:t>
            </w:r>
            <w:r w:rsidRPr="00353573"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 w:rsidRPr="00353573">
              <w:rPr>
                <w:rFonts w:ascii="宋体" w:hAnsi="宋体" w:cs="宋体" w:hint="eastAsia"/>
                <w:color w:val="000000"/>
                <w:sz w:val="24"/>
              </w:rPr>
              <w:t>称</w:t>
            </w:r>
          </w:p>
        </w:tc>
        <w:tc>
          <w:tcPr>
            <w:tcW w:w="1984" w:type="dxa"/>
            <w:vAlign w:val="center"/>
          </w:tcPr>
          <w:p w:rsidR="006B43B4" w:rsidRPr="00353573" w:rsidRDefault="006B43B4" w:rsidP="00B07B92">
            <w:pPr>
              <w:pStyle w:val="ad"/>
              <w:spacing w:line="440" w:lineRule="exact"/>
              <w:rPr>
                <w:rFonts w:ascii="宋体"/>
                <w:color w:val="000000"/>
                <w:sz w:val="24"/>
              </w:rPr>
            </w:pPr>
            <w:r w:rsidRPr="00353573">
              <w:rPr>
                <w:rFonts w:ascii="宋体" w:hAnsi="宋体" w:cs="宋体" w:hint="eastAsia"/>
                <w:color w:val="000000"/>
                <w:sz w:val="24"/>
              </w:rPr>
              <w:t>递交时间</w:t>
            </w:r>
          </w:p>
        </w:tc>
        <w:tc>
          <w:tcPr>
            <w:tcW w:w="1985" w:type="dxa"/>
            <w:vAlign w:val="center"/>
          </w:tcPr>
          <w:p w:rsidR="006B43B4" w:rsidRPr="00353573" w:rsidRDefault="006B43B4" w:rsidP="00B07B92">
            <w:pPr>
              <w:pStyle w:val="ad"/>
              <w:spacing w:line="440" w:lineRule="exact"/>
              <w:rPr>
                <w:rFonts w:ascii="宋体"/>
                <w:color w:val="000000"/>
                <w:sz w:val="24"/>
              </w:rPr>
            </w:pPr>
            <w:r w:rsidRPr="00353573"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 w:rsidRPr="00353573"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 w:rsidRPr="00353573">
              <w:rPr>
                <w:rFonts w:ascii="宋体" w:hAnsi="宋体" w:cs="宋体" w:hint="eastAsia"/>
                <w:color w:val="000000"/>
                <w:sz w:val="24"/>
              </w:rPr>
              <w:t>量</w:t>
            </w:r>
          </w:p>
        </w:tc>
      </w:tr>
      <w:tr w:rsidR="006B43B4" w:rsidRPr="0035426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 w:rsidRPr="0035426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组装图</w:t>
            </w:r>
          </w:p>
        </w:tc>
        <w:tc>
          <w:tcPr>
            <w:tcW w:w="1984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与设备一起交付</w:t>
            </w:r>
          </w:p>
        </w:tc>
        <w:tc>
          <w:tcPr>
            <w:tcW w:w="1985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354263">
              <w:rPr>
                <w:rFonts w:hint="eastAsia"/>
                <w:sz w:val="24"/>
                <w:szCs w:val="24"/>
              </w:rPr>
              <w:t>套，</w:t>
            </w:r>
            <w:r w:rsidRPr="00354263">
              <w:rPr>
                <w:rFonts w:hint="eastAsia"/>
                <w:sz w:val="24"/>
                <w:szCs w:val="24"/>
              </w:rPr>
              <w:t>PDF</w:t>
            </w:r>
            <w:r w:rsidRPr="00354263">
              <w:rPr>
                <w:rFonts w:hint="eastAsia"/>
                <w:sz w:val="24"/>
                <w:szCs w:val="24"/>
              </w:rPr>
              <w:t>电子版</w:t>
            </w:r>
          </w:p>
        </w:tc>
      </w:tr>
      <w:tr w:rsidR="006B43B4" w:rsidRPr="0035426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B43B4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外购件清单</w:t>
            </w:r>
          </w:p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（规格型号、供应商等）</w:t>
            </w:r>
          </w:p>
        </w:tc>
        <w:tc>
          <w:tcPr>
            <w:tcW w:w="1984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与设备一起交付</w:t>
            </w:r>
          </w:p>
        </w:tc>
        <w:tc>
          <w:tcPr>
            <w:tcW w:w="1985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2</w:t>
            </w:r>
            <w:r w:rsidRPr="00354263">
              <w:rPr>
                <w:rFonts w:hint="eastAsia"/>
                <w:sz w:val="24"/>
                <w:szCs w:val="24"/>
              </w:rPr>
              <w:t>套，</w:t>
            </w:r>
            <w:r w:rsidRPr="00354263">
              <w:rPr>
                <w:rFonts w:hint="eastAsia"/>
                <w:sz w:val="24"/>
                <w:szCs w:val="24"/>
              </w:rPr>
              <w:t>PDF</w:t>
            </w:r>
            <w:r w:rsidRPr="00354263">
              <w:rPr>
                <w:rFonts w:hint="eastAsia"/>
                <w:sz w:val="24"/>
                <w:szCs w:val="24"/>
              </w:rPr>
              <w:t>电子版</w:t>
            </w:r>
          </w:p>
        </w:tc>
      </w:tr>
      <w:tr w:rsidR="006B43B4" w:rsidRPr="0035426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易损件清单（规格、供应商）</w:t>
            </w:r>
          </w:p>
        </w:tc>
        <w:tc>
          <w:tcPr>
            <w:tcW w:w="1984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与设备一起交付</w:t>
            </w:r>
          </w:p>
        </w:tc>
        <w:tc>
          <w:tcPr>
            <w:tcW w:w="1985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2</w:t>
            </w:r>
            <w:r w:rsidRPr="00354263">
              <w:rPr>
                <w:rFonts w:hint="eastAsia"/>
                <w:sz w:val="24"/>
                <w:szCs w:val="24"/>
              </w:rPr>
              <w:t>套，</w:t>
            </w:r>
            <w:r w:rsidRPr="00354263">
              <w:rPr>
                <w:rFonts w:hint="eastAsia"/>
                <w:sz w:val="24"/>
                <w:szCs w:val="24"/>
              </w:rPr>
              <w:t>PDF</w:t>
            </w:r>
            <w:r w:rsidRPr="00354263">
              <w:rPr>
                <w:rFonts w:hint="eastAsia"/>
                <w:sz w:val="24"/>
                <w:szCs w:val="24"/>
              </w:rPr>
              <w:t>电子版</w:t>
            </w:r>
          </w:p>
        </w:tc>
      </w:tr>
      <w:tr w:rsidR="006B43B4" w:rsidRPr="0035426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易损件图纸</w:t>
            </w:r>
          </w:p>
        </w:tc>
        <w:tc>
          <w:tcPr>
            <w:tcW w:w="1984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与设备一起交付</w:t>
            </w:r>
          </w:p>
        </w:tc>
        <w:tc>
          <w:tcPr>
            <w:tcW w:w="1985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2</w:t>
            </w:r>
            <w:r w:rsidRPr="00354263">
              <w:rPr>
                <w:rFonts w:hint="eastAsia"/>
                <w:sz w:val="24"/>
                <w:szCs w:val="24"/>
              </w:rPr>
              <w:t>套，</w:t>
            </w:r>
            <w:r w:rsidRPr="00354263">
              <w:rPr>
                <w:rFonts w:hint="eastAsia"/>
                <w:sz w:val="24"/>
                <w:szCs w:val="24"/>
              </w:rPr>
              <w:t>PDF</w:t>
            </w:r>
            <w:r w:rsidRPr="00354263">
              <w:rPr>
                <w:rFonts w:hint="eastAsia"/>
                <w:sz w:val="24"/>
                <w:szCs w:val="24"/>
              </w:rPr>
              <w:t>电子版</w:t>
            </w:r>
          </w:p>
        </w:tc>
      </w:tr>
      <w:tr w:rsidR="006B43B4" w:rsidRPr="00354263" w:rsidTr="00B07B92">
        <w:trPr>
          <w:trHeight w:val="465"/>
        </w:trPr>
        <w:tc>
          <w:tcPr>
            <w:tcW w:w="993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合格证</w:t>
            </w:r>
          </w:p>
        </w:tc>
        <w:tc>
          <w:tcPr>
            <w:tcW w:w="1984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 w:rsidRPr="00354263">
              <w:rPr>
                <w:rFonts w:hint="eastAsia"/>
                <w:sz w:val="24"/>
                <w:szCs w:val="24"/>
              </w:rPr>
              <w:t>与设备一起交付</w:t>
            </w:r>
          </w:p>
        </w:tc>
        <w:tc>
          <w:tcPr>
            <w:tcW w:w="1985" w:type="dxa"/>
            <w:vAlign w:val="center"/>
          </w:tcPr>
          <w:p w:rsidR="006B43B4" w:rsidRPr="00354263" w:rsidRDefault="006B43B4" w:rsidP="00B07B92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</w:tbl>
    <w:p w:rsidR="006B43B4" w:rsidRPr="006811F9" w:rsidRDefault="006B43B4" w:rsidP="006B43B4">
      <w:pPr>
        <w:pStyle w:val="a9"/>
        <w:ind w:left="420" w:firstLineChars="0" w:firstLine="0"/>
        <w:jc w:val="left"/>
        <w:rPr>
          <w:rFonts w:asciiTheme="majorEastAsia" w:eastAsiaTheme="majorEastAsia" w:hAnsiTheme="majorEastAsia"/>
          <w:sz w:val="24"/>
          <w:szCs w:val="24"/>
          <w:highlight w:val="yellow"/>
        </w:rPr>
      </w:pPr>
    </w:p>
    <w:p w:rsidR="006F5817" w:rsidRPr="006F41F3" w:rsidRDefault="006B43B4" w:rsidP="006F581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五</w:t>
      </w:r>
      <w:r w:rsidR="006F5817" w:rsidRPr="006F41F3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、检验、验收、安装及维护：</w:t>
      </w:r>
    </w:p>
    <w:p w:rsidR="009E7562" w:rsidRPr="000A4C65" w:rsidRDefault="009E7562" w:rsidP="009E7562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1、贴合鼓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的验收根据相关国家标准要求和</w:t>
      </w:r>
      <w:r>
        <w:rPr>
          <w:rFonts w:asciiTheme="minorEastAsia" w:hAnsiTheme="minorEastAsia" w:hint="eastAsia"/>
          <w:color w:val="000000"/>
          <w:sz w:val="24"/>
          <w:szCs w:val="24"/>
        </w:rPr>
        <w:t>需方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的企业标准严格执行，要符合</w:t>
      </w:r>
      <w:r>
        <w:rPr>
          <w:rFonts w:asciiTheme="minorEastAsia" w:hAnsiTheme="minorEastAsia" w:hint="eastAsia"/>
          <w:color w:val="000000"/>
          <w:sz w:val="24"/>
          <w:szCs w:val="24"/>
        </w:rPr>
        <w:t>需方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相关工艺技术要求。</w:t>
      </w:r>
    </w:p>
    <w:p w:rsidR="009E7562" w:rsidRPr="000A4C65" w:rsidRDefault="009E7562" w:rsidP="009E7562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2、贴合鼓在需方使用过程中，供方提供必要的售后服务（委派合格工程师到需方现场指导安装）。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如属设计或加工、装配、运输而</w:t>
      </w:r>
      <w:r>
        <w:rPr>
          <w:rFonts w:asciiTheme="minorEastAsia" w:hAnsiTheme="minorEastAsia" w:hint="eastAsia"/>
          <w:color w:val="000000"/>
          <w:sz w:val="24"/>
          <w:szCs w:val="24"/>
        </w:rPr>
        <w:t>产生的问题，由供方免费承担全部费用；如属需方操作不当而产生的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维修费由</w:t>
      </w:r>
      <w:r>
        <w:rPr>
          <w:rFonts w:asciiTheme="minorEastAsia" w:hAnsiTheme="minorEastAsia" w:hint="eastAsia"/>
          <w:color w:val="000000"/>
          <w:sz w:val="24"/>
          <w:szCs w:val="24"/>
        </w:rPr>
        <w:t>需方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承担，</w:t>
      </w:r>
      <w:r>
        <w:rPr>
          <w:rFonts w:asciiTheme="minorEastAsia" w:hAnsiTheme="minorEastAsia" w:hint="eastAsia"/>
          <w:color w:val="000000"/>
          <w:sz w:val="24"/>
          <w:szCs w:val="24"/>
        </w:rPr>
        <w:t>供方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协助维修。</w:t>
      </w:r>
    </w:p>
    <w:p w:rsidR="009E7562" w:rsidRPr="000A4C65" w:rsidRDefault="009E7562" w:rsidP="009E7562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3、供方保证对提供给需方的贴合鼓自双方验收签字之日起保修一年，在保修期内贴合鼓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出现的相关质量问题，</w:t>
      </w:r>
      <w:r>
        <w:rPr>
          <w:rFonts w:asciiTheme="minorEastAsia" w:hAnsiTheme="minorEastAsia" w:hint="eastAsia"/>
          <w:color w:val="000000"/>
          <w:sz w:val="24"/>
          <w:szCs w:val="24"/>
        </w:rPr>
        <w:t>供方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保证随时给予免费维修。</w:t>
      </w:r>
    </w:p>
    <w:p w:rsidR="009E7562" w:rsidRDefault="009E7562" w:rsidP="009E7562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需方</w:t>
      </w:r>
      <w:r w:rsidRPr="000A4C65">
        <w:rPr>
          <w:rFonts w:asciiTheme="minorEastAsia" w:hAnsiTheme="minorEastAsia" w:hint="eastAsia"/>
          <w:color w:val="000000"/>
          <w:sz w:val="24"/>
          <w:szCs w:val="24"/>
        </w:rPr>
        <w:t>根据损失大小按总价值的2-50%赔偿，重大质量问题退货。</w:t>
      </w:r>
    </w:p>
    <w:p w:rsidR="00537571" w:rsidRPr="009E7562" w:rsidRDefault="00537571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537571" w:rsidRPr="006F41F3" w:rsidRDefault="00537571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537571" w:rsidRDefault="00537571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77645" w:rsidRDefault="00377645" w:rsidP="00537571">
      <w:pPr>
        <w:spacing w:line="440" w:lineRule="exact"/>
        <w:jc w:val="left"/>
        <w:rPr>
          <w:rFonts w:ascii="宋体" w:hAnsi="宋体"/>
          <w:sz w:val="24"/>
          <w:szCs w:val="24"/>
        </w:rPr>
      </w:pPr>
    </w:p>
    <w:p w:rsidR="00304D8E" w:rsidRPr="00DC45D5" w:rsidRDefault="00304D8E" w:rsidP="00291D4A">
      <w:pPr>
        <w:spacing w:before="40" w:after="40"/>
        <w:rPr>
          <w:rFonts w:asciiTheme="majorEastAsia" w:eastAsiaTheme="majorEastAsia" w:hAnsiTheme="majorEastAsia" w:cs="宋体"/>
          <w:kern w:val="0"/>
          <w:sz w:val="24"/>
          <w:szCs w:val="24"/>
        </w:rPr>
      </w:pPr>
      <w:bookmarkStart w:id="0" w:name="_GoBack"/>
      <w:bookmarkEnd w:id="0"/>
    </w:p>
    <w:sectPr w:rsidR="00304D8E" w:rsidRPr="00DC45D5" w:rsidSect="00543FF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8C" w:rsidRDefault="0044028C" w:rsidP="006F5817">
      <w:r>
        <w:separator/>
      </w:r>
    </w:p>
  </w:endnote>
  <w:endnote w:type="continuationSeparator" w:id="0">
    <w:p w:rsidR="0044028C" w:rsidRDefault="0044028C" w:rsidP="006F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?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8C" w:rsidRDefault="0044028C" w:rsidP="006F5817">
      <w:r>
        <w:separator/>
      </w:r>
    </w:p>
  </w:footnote>
  <w:footnote w:type="continuationSeparator" w:id="0">
    <w:p w:rsidR="0044028C" w:rsidRDefault="0044028C" w:rsidP="006F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25D4"/>
    <w:multiLevelType w:val="hybridMultilevel"/>
    <w:tmpl w:val="C5389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831D96"/>
    <w:multiLevelType w:val="hybridMultilevel"/>
    <w:tmpl w:val="921CC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4F21A7"/>
    <w:multiLevelType w:val="hybridMultilevel"/>
    <w:tmpl w:val="68A602C4"/>
    <w:lvl w:ilvl="0" w:tplc="33D018F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E4D04"/>
    <w:multiLevelType w:val="hybridMultilevel"/>
    <w:tmpl w:val="98D6E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2C640B"/>
    <w:multiLevelType w:val="hybridMultilevel"/>
    <w:tmpl w:val="968AC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573443"/>
    <w:multiLevelType w:val="hybridMultilevel"/>
    <w:tmpl w:val="B9BCFF3A"/>
    <w:lvl w:ilvl="0" w:tplc="F446ADB2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1839BE"/>
    <w:multiLevelType w:val="hybridMultilevel"/>
    <w:tmpl w:val="FC32C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F71172"/>
    <w:multiLevelType w:val="hybridMultilevel"/>
    <w:tmpl w:val="9BDA8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D40F344">
      <w:start w:val="4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484855"/>
    <w:multiLevelType w:val="multilevel"/>
    <w:tmpl w:val="6548485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EB0A28"/>
    <w:multiLevelType w:val="hybridMultilevel"/>
    <w:tmpl w:val="028AB8B4"/>
    <w:lvl w:ilvl="0" w:tplc="5F0CBFBA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119CE"/>
    <w:multiLevelType w:val="hybridMultilevel"/>
    <w:tmpl w:val="2DF8E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17"/>
    <w:rsid w:val="00023629"/>
    <w:rsid w:val="00027AE5"/>
    <w:rsid w:val="000340B6"/>
    <w:rsid w:val="0004485F"/>
    <w:rsid w:val="00047AEC"/>
    <w:rsid w:val="00051355"/>
    <w:rsid w:val="00057219"/>
    <w:rsid w:val="00063E87"/>
    <w:rsid w:val="00065799"/>
    <w:rsid w:val="000B059F"/>
    <w:rsid w:val="000D692C"/>
    <w:rsid w:val="000E7129"/>
    <w:rsid w:val="000F350C"/>
    <w:rsid w:val="000F3589"/>
    <w:rsid w:val="00100F3A"/>
    <w:rsid w:val="0011117D"/>
    <w:rsid w:val="0014633E"/>
    <w:rsid w:val="00177529"/>
    <w:rsid w:val="001820FD"/>
    <w:rsid w:val="00187A31"/>
    <w:rsid w:val="00192046"/>
    <w:rsid w:val="001B1519"/>
    <w:rsid w:val="001D1FA0"/>
    <w:rsid w:val="001E5542"/>
    <w:rsid w:val="001F1AD1"/>
    <w:rsid w:val="001F36E6"/>
    <w:rsid w:val="001F7F08"/>
    <w:rsid w:val="00205855"/>
    <w:rsid w:val="00207C2E"/>
    <w:rsid w:val="00212D88"/>
    <w:rsid w:val="002243CC"/>
    <w:rsid w:val="00226DDE"/>
    <w:rsid w:val="002335FA"/>
    <w:rsid w:val="0024079C"/>
    <w:rsid w:val="00241F10"/>
    <w:rsid w:val="00245B90"/>
    <w:rsid w:val="002740F9"/>
    <w:rsid w:val="00276213"/>
    <w:rsid w:val="00291D4A"/>
    <w:rsid w:val="00297D77"/>
    <w:rsid w:val="002A3D39"/>
    <w:rsid w:val="002B3BFF"/>
    <w:rsid w:val="002D52EA"/>
    <w:rsid w:val="002F12EA"/>
    <w:rsid w:val="00304D8E"/>
    <w:rsid w:val="00324EAF"/>
    <w:rsid w:val="00331D40"/>
    <w:rsid w:val="0033275A"/>
    <w:rsid w:val="003424C4"/>
    <w:rsid w:val="00354A2C"/>
    <w:rsid w:val="0036212A"/>
    <w:rsid w:val="0036273A"/>
    <w:rsid w:val="00366EAE"/>
    <w:rsid w:val="0037500D"/>
    <w:rsid w:val="003770AE"/>
    <w:rsid w:val="00377645"/>
    <w:rsid w:val="003822EB"/>
    <w:rsid w:val="00392EF6"/>
    <w:rsid w:val="003951FB"/>
    <w:rsid w:val="003B4016"/>
    <w:rsid w:val="003F1DE1"/>
    <w:rsid w:val="00415428"/>
    <w:rsid w:val="00437B7D"/>
    <w:rsid w:val="0044028C"/>
    <w:rsid w:val="00440DDF"/>
    <w:rsid w:val="0044617D"/>
    <w:rsid w:val="00457749"/>
    <w:rsid w:val="00465EE6"/>
    <w:rsid w:val="004A3C0C"/>
    <w:rsid w:val="004B531C"/>
    <w:rsid w:val="004B564F"/>
    <w:rsid w:val="004B6A28"/>
    <w:rsid w:val="004C2009"/>
    <w:rsid w:val="004C3C61"/>
    <w:rsid w:val="004D1C68"/>
    <w:rsid w:val="004D1E89"/>
    <w:rsid w:val="004D6E0C"/>
    <w:rsid w:val="004E1EB2"/>
    <w:rsid w:val="004F5D09"/>
    <w:rsid w:val="005277D8"/>
    <w:rsid w:val="00527E74"/>
    <w:rsid w:val="00537571"/>
    <w:rsid w:val="00541D3B"/>
    <w:rsid w:val="00543FF5"/>
    <w:rsid w:val="00545D74"/>
    <w:rsid w:val="00550F78"/>
    <w:rsid w:val="00553779"/>
    <w:rsid w:val="005625F4"/>
    <w:rsid w:val="005944D8"/>
    <w:rsid w:val="005B0AA2"/>
    <w:rsid w:val="005C4B90"/>
    <w:rsid w:val="005C768A"/>
    <w:rsid w:val="005F1898"/>
    <w:rsid w:val="005F19DF"/>
    <w:rsid w:val="005F40CA"/>
    <w:rsid w:val="00617EB2"/>
    <w:rsid w:val="006476E8"/>
    <w:rsid w:val="0065513D"/>
    <w:rsid w:val="00672A87"/>
    <w:rsid w:val="00675AF5"/>
    <w:rsid w:val="00676D9C"/>
    <w:rsid w:val="006811F9"/>
    <w:rsid w:val="006A453B"/>
    <w:rsid w:val="006A4867"/>
    <w:rsid w:val="006A6344"/>
    <w:rsid w:val="006B251E"/>
    <w:rsid w:val="006B27A3"/>
    <w:rsid w:val="006B43B4"/>
    <w:rsid w:val="006C652D"/>
    <w:rsid w:val="006D7007"/>
    <w:rsid w:val="006F17A0"/>
    <w:rsid w:val="006F1A2F"/>
    <w:rsid w:val="006F41F3"/>
    <w:rsid w:val="006F5817"/>
    <w:rsid w:val="00712935"/>
    <w:rsid w:val="00715CE0"/>
    <w:rsid w:val="00720992"/>
    <w:rsid w:val="0072455C"/>
    <w:rsid w:val="00733598"/>
    <w:rsid w:val="00761D34"/>
    <w:rsid w:val="00762CD9"/>
    <w:rsid w:val="007650DC"/>
    <w:rsid w:val="007745D9"/>
    <w:rsid w:val="007837D4"/>
    <w:rsid w:val="00787F39"/>
    <w:rsid w:val="00792521"/>
    <w:rsid w:val="00796B65"/>
    <w:rsid w:val="007A25BF"/>
    <w:rsid w:val="007A284F"/>
    <w:rsid w:val="007D4751"/>
    <w:rsid w:val="007D6231"/>
    <w:rsid w:val="007E712F"/>
    <w:rsid w:val="007F5009"/>
    <w:rsid w:val="00836E64"/>
    <w:rsid w:val="00843CF4"/>
    <w:rsid w:val="0086653A"/>
    <w:rsid w:val="008739CD"/>
    <w:rsid w:val="00881E2D"/>
    <w:rsid w:val="008C0203"/>
    <w:rsid w:val="008C6229"/>
    <w:rsid w:val="008D08EB"/>
    <w:rsid w:val="008D2B83"/>
    <w:rsid w:val="008E1456"/>
    <w:rsid w:val="008F65D6"/>
    <w:rsid w:val="00903C5B"/>
    <w:rsid w:val="00906838"/>
    <w:rsid w:val="009269CB"/>
    <w:rsid w:val="00941A5C"/>
    <w:rsid w:val="0094590E"/>
    <w:rsid w:val="00954926"/>
    <w:rsid w:val="00982AE3"/>
    <w:rsid w:val="009865AD"/>
    <w:rsid w:val="00991D49"/>
    <w:rsid w:val="00997DFB"/>
    <w:rsid w:val="009B5A5C"/>
    <w:rsid w:val="009B7125"/>
    <w:rsid w:val="009C3071"/>
    <w:rsid w:val="009E52D8"/>
    <w:rsid w:val="009E7562"/>
    <w:rsid w:val="009F6C69"/>
    <w:rsid w:val="00A45E5C"/>
    <w:rsid w:val="00A9092F"/>
    <w:rsid w:val="00A90A3F"/>
    <w:rsid w:val="00AA2E7D"/>
    <w:rsid w:val="00AA6C74"/>
    <w:rsid w:val="00AB4BDA"/>
    <w:rsid w:val="00AC1CAB"/>
    <w:rsid w:val="00AE2C2E"/>
    <w:rsid w:val="00AE63EA"/>
    <w:rsid w:val="00AF0980"/>
    <w:rsid w:val="00B07474"/>
    <w:rsid w:val="00B119AC"/>
    <w:rsid w:val="00B36059"/>
    <w:rsid w:val="00B6718E"/>
    <w:rsid w:val="00B715C9"/>
    <w:rsid w:val="00B76684"/>
    <w:rsid w:val="00B76D81"/>
    <w:rsid w:val="00B83730"/>
    <w:rsid w:val="00BA19E8"/>
    <w:rsid w:val="00BA42AD"/>
    <w:rsid w:val="00BC1778"/>
    <w:rsid w:val="00BC2246"/>
    <w:rsid w:val="00BD6DEE"/>
    <w:rsid w:val="00BE7674"/>
    <w:rsid w:val="00BF3013"/>
    <w:rsid w:val="00BF3E49"/>
    <w:rsid w:val="00BF79C1"/>
    <w:rsid w:val="00C10A82"/>
    <w:rsid w:val="00C117A9"/>
    <w:rsid w:val="00C17FC8"/>
    <w:rsid w:val="00C2397B"/>
    <w:rsid w:val="00C428F4"/>
    <w:rsid w:val="00C5693B"/>
    <w:rsid w:val="00C77A5B"/>
    <w:rsid w:val="00C82574"/>
    <w:rsid w:val="00CA070B"/>
    <w:rsid w:val="00CA251A"/>
    <w:rsid w:val="00CA2C6E"/>
    <w:rsid w:val="00CC2595"/>
    <w:rsid w:val="00CF4EAF"/>
    <w:rsid w:val="00D06127"/>
    <w:rsid w:val="00D40A1E"/>
    <w:rsid w:val="00D45FF3"/>
    <w:rsid w:val="00D74B0D"/>
    <w:rsid w:val="00DA59CC"/>
    <w:rsid w:val="00DB4E9D"/>
    <w:rsid w:val="00DB7119"/>
    <w:rsid w:val="00DC3689"/>
    <w:rsid w:val="00DC45D5"/>
    <w:rsid w:val="00DC72D2"/>
    <w:rsid w:val="00DD52B3"/>
    <w:rsid w:val="00E06D37"/>
    <w:rsid w:val="00E1783C"/>
    <w:rsid w:val="00E22533"/>
    <w:rsid w:val="00E331E9"/>
    <w:rsid w:val="00E348BC"/>
    <w:rsid w:val="00E4433C"/>
    <w:rsid w:val="00E61D3C"/>
    <w:rsid w:val="00E734E6"/>
    <w:rsid w:val="00E858BF"/>
    <w:rsid w:val="00E9404F"/>
    <w:rsid w:val="00EA0305"/>
    <w:rsid w:val="00EA4E61"/>
    <w:rsid w:val="00EC1BEE"/>
    <w:rsid w:val="00ED2003"/>
    <w:rsid w:val="00EF5A30"/>
    <w:rsid w:val="00EF6BB5"/>
    <w:rsid w:val="00F00042"/>
    <w:rsid w:val="00F11304"/>
    <w:rsid w:val="00F1773E"/>
    <w:rsid w:val="00F320E6"/>
    <w:rsid w:val="00F41E75"/>
    <w:rsid w:val="00F41FB6"/>
    <w:rsid w:val="00F43705"/>
    <w:rsid w:val="00F5137C"/>
    <w:rsid w:val="00F7445C"/>
    <w:rsid w:val="00F75FC6"/>
    <w:rsid w:val="00F82CA0"/>
    <w:rsid w:val="00F8387C"/>
    <w:rsid w:val="00F84ACA"/>
    <w:rsid w:val="00F86A46"/>
    <w:rsid w:val="00FB2509"/>
    <w:rsid w:val="00FB6195"/>
    <w:rsid w:val="00FB7A25"/>
    <w:rsid w:val="00FC437A"/>
    <w:rsid w:val="00FC699C"/>
    <w:rsid w:val="00FE32C3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211DE"/>
  <w15:docId w15:val="{4AACAD6D-AA4C-4E97-98C1-3072E7B7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817"/>
    <w:rPr>
      <w:sz w:val="18"/>
      <w:szCs w:val="18"/>
    </w:rPr>
  </w:style>
  <w:style w:type="paragraph" w:styleId="a7">
    <w:name w:val="Body Text Indent"/>
    <w:basedOn w:val="a"/>
    <w:link w:val="a8"/>
    <w:rsid w:val="002F12EA"/>
    <w:pPr>
      <w:ind w:left="840" w:hangingChars="400" w:hanging="840"/>
    </w:pPr>
    <w:rPr>
      <w:rFonts w:ascii="Times New Roman" w:eastAsia="宋体" w:hAnsi="Times New Roman" w:cs="Times New Roman"/>
      <w:szCs w:val="21"/>
    </w:rPr>
  </w:style>
  <w:style w:type="character" w:customStyle="1" w:styleId="a8">
    <w:name w:val="正文文本缩进 字符"/>
    <w:basedOn w:val="a0"/>
    <w:link w:val="a7"/>
    <w:rsid w:val="002F12EA"/>
    <w:rPr>
      <w:rFonts w:ascii="Times New Roman" w:eastAsia="宋体" w:hAnsi="Times New Roman" w:cs="Times New Roman"/>
      <w:szCs w:val="21"/>
    </w:rPr>
  </w:style>
  <w:style w:type="paragraph" w:styleId="a9">
    <w:name w:val="List Paragraph"/>
    <w:basedOn w:val="a"/>
    <w:uiPriority w:val="34"/>
    <w:qFormat/>
    <w:rsid w:val="002F12EA"/>
    <w:pPr>
      <w:ind w:firstLineChars="200" w:firstLine="420"/>
    </w:pPr>
  </w:style>
  <w:style w:type="table" w:styleId="aa">
    <w:name w:val="Table Grid"/>
    <w:basedOn w:val="a1"/>
    <w:uiPriority w:val="59"/>
    <w:rsid w:val="0083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4433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4433C"/>
  </w:style>
  <w:style w:type="paragraph" w:customStyle="1" w:styleId="ad">
    <w:name w:val="）"/>
    <w:basedOn w:val="a"/>
    <w:uiPriority w:val="99"/>
    <w:rsid w:val="006B43B4"/>
    <w:rPr>
      <w:rFonts w:ascii="Times New Roman" w:eastAsia="宋体" w:hAnsi="Times New Roman" w:cs="Times New Roman"/>
      <w:sz w:val="28"/>
      <w:szCs w:val="24"/>
    </w:rPr>
  </w:style>
  <w:style w:type="paragraph" w:customStyle="1" w:styleId="1">
    <w:name w:val="列出段落1"/>
    <w:basedOn w:val="a"/>
    <w:rsid w:val="006B43B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AD781C-B3D1-4EC2-A037-14D0F7C3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Zhang, Xin Qiang</cp:lastModifiedBy>
  <cp:revision>6</cp:revision>
  <dcterms:created xsi:type="dcterms:W3CDTF">2021-02-27T02:34:00Z</dcterms:created>
  <dcterms:modified xsi:type="dcterms:W3CDTF">2021-03-02T07:52:00Z</dcterms:modified>
</cp:coreProperties>
</file>